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3C" w:rsidRDefault="008F5C3C" w:rsidP="008F5C3C">
      <w:pPr>
        <w:jc w:val="center"/>
        <w:rPr>
          <w:rFonts w:ascii="Arial" w:hAnsi="Arial" w:cs="Arial"/>
          <w:b/>
          <w:bCs/>
          <w:color w:val="333333"/>
          <w:sz w:val="20"/>
          <w:szCs w:val="20"/>
          <w:shd w:val="clear" w:color="auto" w:fill="FFFFFF"/>
        </w:rPr>
      </w:pPr>
      <w:bookmarkStart w:id="0" w:name="_GoBack"/>
      <w:bookmarkEnd w:id="0"/>
      <w:r>
        <w:rPr>
          <w:rFonts w:ascii="Arial" w:hAnsi="Arial" w:cs="Arial"/>
          <w:b/>
          <w:bCs/>
          <w:color w:val="333333"/>
          <w:sz w:val="20"/>
          <w:szCs w:val="20"/>
          <w:shd w:val="clear" w:color="auto" w:fill="FFFFFF"/>
        </w:rPr>
        <w:t>МИНИСТЕРСТВО</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ФИНАНСОВ</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РОССИЙСКОЙ</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ФЕДЕРАЦИИ</w:t>
      </w:r>
    </w:p>
    <w:p w:rsidR="008F5C3C" w:rsidRDefault="008F5C3C" w:rsidP="008F5C3C">
      <w:pPr>
        <w:jc w:val="center"/>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ПИСЬМО</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от</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17</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января</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2019</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г</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N</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02</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06</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10</w:t>
      </w: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1927</w:t>
      </w:r>
      <w:r>
        <w:rPr>
          <w:rFonts w:ascii="Arial" w:hAnsi="Arial" w:cs="Arial"/>
          <w:color w:val="333333"/>
          <w:sz w:val="20"/>
          <w:szCs w:val="20"/>
          <w:shd w:val="clear" w:color="auto" w:fill="FFFFFF"/>
        </w:rPr>
        <w:t> </w:t>
      </w:r>
    </w:p>
    <w:p w:rsidR="00421E8E" w:rsidRDefault="008F5C3C" w:rsidP="008F5C3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Pr>
          <w:rFonts w:ascii="Arial" w:hAnsi="Arial" w:cs="Arial"/>
          <w:b/>
          <w:bCs/>
          <w:color w:val="333333"/>
          <w:sz w:val="20"/>
          <w:szCs w:val="20"/>
          <w:shd w:val="clear" w:color="auto" w:fill="FFFFFF"/>
        </w:rPr>
        <w:t>О</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ПРИНЯТИИ</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ОРГАНИЗАЦИЯМИ</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ГОСУДАРСТВЕННОГО</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СЕКТОРА</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К</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БУХУЧЕТУ</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РАБОЧИХ</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ТЕТРАДЕЙ</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ЯВЛЯЮЩИХСЯ</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ОТДЕЛЬНЫМ</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ПРИЛОЖЕНИЕМ</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К</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УЧЕБНОМУ</w:t>
      </w:r>
      <w:r>
        <w:rPr>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ИЗДАНИЮ</w:t>
      </w:r>
      <w:r>
        <w:rPr>
          <w:rFonts w:ascii="Arial" w:hAnsi="Arial" w:cs="Arial"/>
          <w:color w:val="333333"/>
          <w:sz w:val="20"/>
          <w:szCs w:val="20"/>
          <w:shd w:val="clear" w:color="auto" w:fill="FFFFFF"/>
        </w:rPr>
        <w:t>"</w:t>
      </w:r>
    </w:p>
    <w:p w:rsidR="008F5C3C" w:rsidRDefault="008F5C3C" w:rsidP="008F5C3C">
      <w:pPr>
        <w:spacing w:after="0" w:line="240" w:lineRule="auto"/>
        <w:ind w:firstLine="709"/>
        <w:jc w:val="both"/>
      </w:pPr>
      <w: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от 30.11.2018 по вопросу принятия к бухгалтерскому учету рабочих тетрадей, которые издаются в качестве отдельного приложения к учебному изданию, и в рамках своей компетенции сообщает следующее.</w:t>
      </w:r>
    </w:p>
    <w:p w:rsidR="008F5C3C" w:rsidRDefault="008F5C3C" w:rsidP="008F5C3C">
      <w:pPr>
        <w:spacing w:after="0" w:line="240" w:lineRule="auto"/>
        <w:ind w:firstLine="709"/>
        <w:jc w:val="both"/>
      </w:pPr>
      <w:proofErr w:type="gramStart"/>
      <w:r>
        <w:t>В силу положений Постановления Правительства Российской Федерации от 30.06.2004 № 329 «О Министерстве финансов Российской Федерации» в Министерстве финансов Российской Федерации, если законодательством не установлено иное, не рассматриваются по существу обращения по разъяснению (толкованию норм, терминов и понятий) законодательства Российской Федерации и практики его применения, а также по оценке конкретных хозяйственных операций.</w:t>
      </w:r>
      <w:proofErr w:type="gramEnd"/>
    </w:p>
    <w:p w:rsidR="008F5C3C" w:rsidRDefault="008F5C3C" w:rsidP="008F5C3C">
      <w:pPr>
        <w:spacing w:after="0" w:line="240" w:lineRule="auto"/>
        <w:ind w:firstLine="709"/>
        <w:jc w:val="both"/>
      </w:pPr>
      <w:r>
        <w:t>Вместе с тем Департамент полагает необходимым обратить внимание на следующее.</w:t>
      </w:r>
    </w:p>
    <w:p w:rsidR="008F5C3C" w:rsidRDefault="008F5C3C" w:rsidP="008F5C3C">
      <w:pPr>
        <w:spacing w:after="0" w:line="240" w:lineRule="auto"/>
        <w:ind w:firstLine="709"/>
        <w:jc w:val="both"/>
      </w:pPr>
      <w:r>
        <w:t>Единые правила бухгалтерского учета для организаций государственного сектора определены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31.12.2016 № 256н,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и иными нормативными правовыми актами, регулирующими ведение бухгалтерского учета и составление бухгалтерской (финансовой) отчетности.</w:t>
      </w:r>
    </w:p>
    <w:p w:rsidR="008F5C3C" w:rsidRDefault="008F5C3C" w:rsidP="008F5C3C">
      <w:pPr>
        <w:spacing w:after="0" w:line="240" w:lineRule="auto"/>
        <w:ind w:firstLine="709"/>
        <w:jc w:val="both"/>
      </w:pPr>
      <w:r>
        <w:t>Статья 1 Федерального закона от 29.12.1994 № 78-ФЗ «О библиотечном деле» определяет библиотечный фонд как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8F5C3C" w:rsidRDefault="008F5C3C" w:rsidP="008F5C3C">
      <w:pPr>
        <w:spacing w:after="0" w:line="240" w:lineRule="auto"/>
        <w:ind w:firstLine="709"/>
        <w:jc w:val="both"/>
      </w:pPr>
      <w:r>
        <w:t>В соответствии с пунктом 8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материальные объекты имущества (за исключением периодических изданий), составляющие библиотечный фонд субъекта учета, принимаются к бухгалтерскому учету в качестве основных средств независимо от срока их полезного использования.</w:t>
      </w:r>
    </w:p>
    <w:p w:rsidR="008F5C3C" w:rsidRDefault="008F5C3C" w:rsidP="008F5C3C">
      <w:pPr>
        <w:spacing w:after="0" w:line="240" w:lineRule="auto"/>
        <w:ind w:firstLine="709"/>
        <w:jc w:val="both"/>
      </w:pPr>
      <w:r>
        <w:t xml:space="preserve">Согласно положениям Межгосударственного стандарта (ГОСТ 7.60-2003 «Система стандартов по информации, библиотечному и издательскому делу. Издания. Основные виды. </w:t>
      </w:r>
      <w:proofErr w:type="gramStart"/>
      <w:r>
        <w:t>Термины и определения»), введенного Постановлением Госстандарта России от 25.11.2003 № 331-ст, учебным пособием (включая рабочие тетради) является учебное издание, дополняющее или заменяющее частично или полностью учебник, официально утвержденное в качестве данного вида издания.</w:t>
      </w:r>
      <w:proofErr w:type="gramEnd"/>
    </w:p>
    <w:p w:rsidR="008F5C3C" w:rsidRDefault="008F5C3C" w:rsidP="008F5C3C">
      <w:pPr>
        <w:spacing w:after="0" w:line="240" w:lineRule="auto"/>
        <w:ind w:firstLine="709"/>
        <w:jc w:val="both"/>
      </w:pPr>
      <w:r>
        <w:t xml:space="preserve">Рабочая тетрадь функционально связана с учебником, полностью или частично заменяет или дополняет его, в </w:t>
      </w:r>
      <w:proofErr w:type="gramStart"/>
      <w:r>
        <w:t>связи</w:t>
      </w:r>
      <w:proofErr w:type="gramEnd"/>
      <w:r>
        <w:t xml:space="preserve"> с чем использование учебника без использования учебного пособия (рабочей тетради) не представляется возможным.</w:t>
      </w:r>
    </w:p>
    <w:p w:rsidR="008F5C3C" w:rsidRDefault="008F5C3C" w:rsidP="008F5C3C">
      <w:pPr>
        <w:spacing w:after="0" w:line="240" w:lineRule="auto"/>
        <w:ind w:firstLine="709"/>
        <w:jc w:val="both"/>
      </w:pPr>
      <w:r>
        <w:t>Учитывая изложенное, а также тот факт, что срок полезного использования для обособленных частей объекта, функционально составляющих единое целое, определяется по наибольшему сроку использования одной из обособленных частей, по мнению Департамента, в рассматриваемом случае срок использования рабочей тетради следует определять исходя из срока использования учебника.</w:t>
      </w:r>
    </w:p>
    <w:p w:rsidR="008F5C3C" w:rsidRDefault="008F5C3C" w:rsidP="008F5C3C">
      <w:pPr>
        <w:spacing w:after="0" w:line="240" w:lineRule="auto"/>
        <w:ind w:firstLine="709"/>
        <w:jc w:val="both"/>
      </w:pPr>
    </w:p>
    <w:p w:rsidR="008F5C3C" w:rsidRDefault="008F5C3C" w:rsidP="008F5C3C">
      <w:pPr>
        <w:spacing w:after="0" w:line="240" w:lineRule="auto"/>
        <w:ind w:firstLine="709"/>
        <w:jc w:val="both"/>
      </w:pPr>
      <w:r>
        <w:lastRenderedPageBreak/>
        <w:t>В случае если использование учебного пособия (рабочей тетради) в течение всего срока полезного использования учебника не представляется возможным, для таких учебных пособий необходимо установить отдельные правила списания (замены) с бухгалтерского учета.</w:t>
      </w:r>
    </w:p>
    <w:p w:rsidR="008F5C3C" w:rsidRDefault="008F5C3C" w:rsidP="008F5C3C">
      <w:pPr>
        <w:spacing w:after="0" w:line="240" w:lineRule="auto"/>
        <w:ind w:firstLine="709"/>
        <w:jc w:val="both"/>
      </w:pPr>
      <w:r>
        <w:t>Таким образом, принятие к бухгалтерскому учету учебных пособий целесообразно осуществлять с учетом Указаний о порядке применения бюджетной классификации Российской Федерации, утвержденных Приказом Министерства финансов Российской Федерации от 01.07.2013 № 65н, с использованием подстатьи КОСГУ 310 «Увеличение стоимости основных средств».</w:t>
      </w:r>
    </w:p>
    <w:p w:rsidR="008F5C3C" w:rsidRDefault="008F5C3C" w:rsidP="008F5C3C">
      <w:pPr>
        <w:spacing w:after="0" w:line="240" w:lineRule="auto"/>
        <w:ind w:firstLine="709"/>
        <w:jc w:val="both"/>
      </w:pPr>
    </w:p>
    <w:p w:rsidR="008F5C3C" w:rsidRDefault="008F5C3C" w:rsidP="008F5C3C">
      <w:pPr>
        <w:spacing w:after="0" w:line="240" w:lineRule="auto"/>
        <w:ind w:firstLine="709"/>
        <w:jc w:val="both"/>
      </w:pPr>
    </w:p>
    <w:p w:rsidR="008F5C3C" w:rsidRDefault="008F5C3C" w:rsidP="008F5C3C">
      <w:pPr>
        <w:spacing w:after="0" w:line="240" w:lineRule="auto"/>
        <w:ind w:firstLine="709"/>
        <w:jc w:val="both"/>
      </w:pPr>
    </w:p>
    <w:p w:rsidR="008F5C3C" w:rsidRDefault="008F5C3C" w:rsidP="008F5C3C">
      <w:pPr>
        <w:spacing w:after="0" w:line="240" w:lineRule="auto"/>
        <w:ind w:hanging="142"/>
        <w:jc w:val="both"/>
      </w:pPr>
      <w:r>
        <w:t>Заместитель директора Департамента</w:t>
      </w:r>
    </w:p>
    <w:p w:rsidR="008F5C3C" w:rsidRDefault="008F5C3C" w:rsidP="008F5C3C">
      <w:pPr>
        <w:spacing w:after="0" w:line="240" w:lineRule="auto"/>
        <w:ind w:hanging="142"/>
        <w:jc w:val="both"/>
      </w:pPr>
      <w:r>
        <w:t>бюджетной методологии</w:t>
      </w:r>
    </w:p>
    <w:p w:rsidR="008F5C3C" w:rsidRDefault="008F5C3C" w:rsidP="008F5C3C">
      <w:pPr>
        <w:spacing w:after="0" w:line="240" w:lineRule="auto"/>
        <w:ind w:hanging="142"/>
        <w:jc w:val="both"/>
      </w:pPr>
      <w:r>
        <w:t>и финансовой отчетности</w:t>
      </w:r>
    </w:p>
    <w:p w:rsidR="008F5C3C" w:rsidRDefault="008F5C3C" w:rsidP="008F5C3C">
      <w:pPr>
        <w:tabs>
          <w:tab w:val="left" w:pos="6720"/>
        </w:tabs>
        <w:spacing w:after="0" w:line="240" w:lineRule="auto"/>
        <w:ind w:hanging="142"/>
        <w:jc w:val="both"/>
      </w:pPr>
      <w:r>
        <w:t>в государственном секторе</w:t>
      </w:r>
      <w:r>
        <w:tab/>
        <w:t xml:space="preserve">                 С. В. </w:t>
      </w:r>
      <w:proofErr w:type="spellStart"/>
      <w:r>
        <w:t>Сивец</w:t>
      </w:r>
      <w:proofErr w:type="spellEnd"/>
    </w:p>
    <w:sectPr w:rsidR="008F5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3C"/>
    <w:rsid w:val="00421E8E"/>
    <w:rsid w:val="008F5C3C"/>
    <w:rsid w:val="00CC6358"/>
    <w:rsid w:val="00CD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Wild Virgo</cp:lastModifiedBy>
  <cp:revision>2</cp:revision>
  <dcterms:created xsi:type="dcterms:W3CDTF">2021-01-12T13:31:00Z</dcterms:created>
  <dcterms:modified xsi:type="dcterms:W3CDTF">2021-01-12T13:31:00Z</dcterms:modified>
</cp:coreProperties>
</file>