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30" w:rsidRDefault="009E1530" w:rsidP="00DC3604">
      <w:pPr>
        <w:jc w:val="center"/>
        <w:rPr>
          <w:rFonts w:hAnsi="Times New Roman" w:cs="Times New Roman"/>
          <w:b/>
          <w:color w:val="000000"/>
          <w:sz w:val="28"/>
          <w:szCs w:val="24"/>
          <w:lang w:val="ru-RU"/>
        </w:rPr>
      </w:pPr>
      <w:bookmarkStart w:id="0" w:name="_GoBack"/>
      <w:r w:rsidRPr="009E1530">
        <w:rPr>
          <w:rFonts w:hAnsi="Times New Roman" w:cs="Times New Roman"/>
          <w:b/>
          <w:noProof/>
          <w:color w:val="000000"/>
          <w:sz w:val="28"/>
          <w:szCs w:val="24"/>
          <w:lang w:val="ru-RU" w:eastAsia="ru-RU"/>
        </w:rPr>
        <w:drawing>
          <wp:inline distT="0" distB="0" distL="0" distR="0">
            <wp:extent cx="5731965" cy="8823960"/>
            <wp:effectExtent l="0" t="0" r="2540" b="0"/>
            <wp:docPr id="1" name="Рисунок 1" descr="C:\Users\Школа\Desktop\1 листы положен\пол.о центре естест-науч техн профил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1 листы положен\пол.о центре естест-науч техн профиле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785" cy="882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C3604" w:rsidRPr="00BF2470" w:rsidRDefault="00DC3604" w:rsidP="00DC3604">
      <w:pPr>
        <w:jc w:val="center"/>
        <w:rPr>
          <w:rFonts w:hAnsi="Times New Roman" w:cs="Times New Roman"/>
          <w:b/>
          <w:color w:val="000000"/>
          <w:sz w:val="28"/>
          <w:szCs w:val="24"/>
          <w:lang w:val="ru-RU"/>
        </w:rPr>
      </w:pPr>
      <w:r w:rsidRPr="00BF2470">
        <w:rPr>
          <w:rFonts w:hAnsi="Times New Roman" w:cs="Times New Roman"/>
          <w:b/>
          <w:color w:val="000000"/>
          <w:sz w:val="28"/>
          <w:szCs w:val="24"/>
          <w:lang w:val="ru-RU"/>
        </w:rPr>
        <w:lastRenderedPageBreak/>
        <w:t>Муниципальное бюджетное общеобразовательное</w:t>
      </w:r>
      <w:r>
        <w:rPr>
          <w:rFonts w:hAnsi="Times New Roman" w:cs="Times New Roman"/>
          <w:b/>
          <w:color w:val="000000"/>
          <w:sz w:val="28"/>
          <w:szCs w:val="24"/>
          <w:lang w:val="ru-RU"/>
        </w:rPr>
        <w:t xml:space="preserve"> </w:t>
      </w:r>
      <w:r w:rsidRPr="00BF2470">
        <w:rPr>
          <w:rFonts w:hAnsi="Times New Roman" w:cs="Times New Roman"/>
          <w:b/>
          <w:color w:val="000000"/>
          <w:sz w:val="28"/>
          <w:szCs w:val="24"/>
          <w:lang w:val="ru-RU"/>
        </w:rPr>
        <w:t>учреждение</w:t>
      </w:r>
      <w:r w:rsidRPr="00BF2470">
        <w:rPr>
          <w:b/>
          <w:sz w:val="24"/>
          <w:lang w:val="ru-RU"/>
        </w:rPr>
        <w:br/>
      </w:r>
      <w:proofErr w:type="spellStart"/>
      <w:r w:rsidRPr="00BF2470">
        <w:rPr>
          <w:rFonts w:hAnsi="Times New Roman" w:cs="Times New Roman"/>
          <w:b/>
          <w:color w:val="000000"/>
          <w:sz w:val="28"/>
          <w:szCs w:val="24"/>
          <w:lang w:val="ru-RU"/>
        </w:rPr>
        <w:t>Авило</w:t>
      </w:r>
      <w:proofErr w:type="spellEnd"/>
      <w:r w:rsidRPr="00BF2470">
        <w:rPr>
          <w:rFonts w:hAnsi="Times New Roman" w:cs="Times New Roman"/>
          <w:b/>
          <w:color w:val="000000"/>
          <w:sz w:val="28"/>
          <w:szCs w:val="24"/>
          <w:lang w:val="ru-RU"/>
        </w:rPr>
        <w:t xml:space="preserve">-Успенская </w:t>
      </w:r>
      <w:proofErr w:type="spellStart"/>
      <w:r w:rsidRPr="00BF2470">
        <w:rPr>
          <w:rFonts w:hAnsi="Times New Roman" w:cs="Times New Roman"/>
          <w:b/>
          <w:color w:val="000000"/>
          <w:sz w:val="28"/>
          <w:szCs w:val="24"/>
          <w:lang w:val="ru-RU"/>
        </w:rPr>
        <w:t>сош</w:t>
      </w:r>
      <w:proofErr w:type="spellEnd"/>
    </w:p>
    <w:tbl>
      <w:tblPr>
        <w:tblW w:w="967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69"/>
        <w:gridCol w:w="4102"/>
      </w:tblGrid>
      <w:tr w:rsidR="00DC3604" w:rsidTr="00502281">
        <w:trPr>
          <w:trHeight w:val="337"/>
        </w:trPr>
        <w:tc>
          <w:tcPr>
            <w:tcW w:w="55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3604" w:rsidRDefault="00DC3604" w:rsidP="0050228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</w:tc>
        <w:tc>
          <w:tcPr>
            <w:tcW w:w="41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3604" w:rsidRDefault="00DC3604" w:rsidP="0050228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УТВЕРЖДЕНО</w:t>
            </w:r>
          </w:p>
        </w:tc>
      </w:tr>
      <w:tr w:rsidR="00DC3604" w:rsidRPr="009E1530" w:rsidTr="00502281">
        <w:trPr>
          <w:trHeight w:val="692"/>
        </w:trPr>
        <w:tc>
          <w:tcPr>
            <w:tcW w:w="55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3604" w:rsidRPr="00FB36D5" w:rsidRDefault="00DC3604" w:rsidP="0050228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36D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FB36D5">
              <w:rPr>
                <w:lang w:val="ru-RU"/>
              </w:rPr>
              <w:br/>
            </w:r>
            <w:r w:rsidRPr="00FB36D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Авило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-Успенская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proofErr w:type="spellEnd"/>
          </w:p>
        </w:tc>
        <w:tc>
          <w:tcPr>
            <w:tcW w:w="41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3604" w:rsidRPr="00FB36D5" w:rsidRDefault="00DC3604" w:rsidP="0050228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36D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 директора</w:t>
            </w:r>
            <w:r w:rsidRPr="00FB36D5">
              <w:rPr>
                <w:lang w:val="ru-RU"/>
              </w:rPr>
              <w:br/>
            </w:r>
            <w:r w:rsidRPr="00FB36D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Авило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-Успенская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</w:t>
            </w:r>
            <w:proofErr w:type="spellEnd"/>
          </w:p>
        </w:tc>
      </w:tr>
      <w:tr w:rsidR="00DC3604" w:rsidTr="00502281">
        <w:trPr>
          <w:trHeight w:val="692"/>
        </w:trPr>
        <w:tc>
          <w:tcPr>
            <w:tcW w:w="55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3604" w:rsidRDefault="00DC3604" w:rsidP="0050228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02.09.2024 № __)</w:t>
            </w:r>
          </w:p>
        </w:tc>
        <w:tc>
          <w:tcPr>
            <w:tcW w:w="410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3604" w:rsidRPr="000C24B1" w:rsidRDefault="00DC3604" w:rsidP="0050228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02.09.2024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 В.М. Косякова</w:t>
            </w:r>
          </w:p>
        </w:tc>
      </w:tr>
    </w:tbl>
    <w:p w:rsidR="00DC3604" w:rsidRDefault="00DC360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C3604" w:rsidRPr="00DC3604" w:rsidRDefault="00DC3604">
      <w:pPr>
        <w:jc w:val="center"/>
        <w:rPr>
          <w:rFonts w:hAnsi="Times New Roman" w:cs="Times New Roman"/>
          <w:b/>
          <w:bCs/>
          <w:color w:val="000000"/>
          <w:sz w:val="32"/>
          <w:szCs w:val="24"/>
          <w:lang w:val="ru-RU"/>
        </w:rPr>
      </w:pPr>
      <w:r w:rsidRPr="00DC3604">
        <w:rPr>
          <w:rFonts w:hAnsi="Times New Roman" w:cs="Times New Roman"/>
          <w:b/>
          <w:bCs/>
          <w:color w:val="000000"/>
          <w:sz w:val="32"/>
          <w:szCs w:val="24"/>
          <w:lang w:val="ru-RU"/>
        </w:rPr>
        <w:t xml:space="preserve">Положение </w:t>
      </w:r>
    </w:p>
    <w:p w:rsidR="00DC3604" w:rsidRDefault="00DC360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 центре образования естественно-научного и технологического профилей </w:t>
      </w:r>
    </w:p>
    <w:p w:rsidR="00AF2742" w:rsidRPr="00DC3604" w:rsidRDefault="00DC360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«Точка роста»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на базе МБОУ </w:t>
      </w:r>
      <w:proofErr w:type="spellStart"/>
      <w:r w:rsidRPr="00DC3604">
        <w:rPr>
          <w:rFonts w:hAnsi="Times New Roman" w:cs="Times New Roman"/>
          <w:b/>
          <w:color w:val="000000"/>
          <w:sz w:val="24"/>
          <w:szCs w:val="24"/>
          <w:lang w:val="ru-RU"/>
        </w:rPr>
        <w:t>Авило</w:t>
      </w:r>
      <w:proofErr w:type="spellEnd"/>
      <w:r w:rsidRPr="00DC3604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-Успенская </w:t>
      </w:r>
      <w:proofErr w:type="spellStart"/>
      <w:r w:rsidRPr="00DC3604">
        <w:rPr>
          <w:rFonts w:hAnsi="Times New Roman" w:cs="Times New Roman"/>
          <w:b/>
          <w:color w:val="000000"/>
          <w:sz w:val="24"/>
          <w:szCs w:val="24"/>
          <w:lang w:val="ru-RU"/>
        </w:rPr>
        <w:t>сош</w:t>
      </w:r>
      <w:proofErr w:type="spellEnd"/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1.1. Центр образования естественно-научного и технологического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профилей «Точка роста»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Центр) создан на базе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Авило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-Успенская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proofErr w:type="spellEnd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 в целях развития и реализации основных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и общеобразовательных программ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естественно-научного и технологического профилей.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1.2. Центр является структурным подразделением МБОУ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Авило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-Успенская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(далее – Школа) и не является юридическим лицом.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1.3. В своей деятельности Центр руководствуется Федеральным законом от 29.12.2012 № 273-ФЗ «Об образовании в Российской Федерации», другими нормативными документами </w:t>
      </w:r>
      <w:proofErr w:type="spellStart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Российской Федерации, иными нормативными правовыми актами Российской Федерации и МБОУ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Авило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-Успенская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proofErr w:type="spellEnd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программой развития Центра на текущий год, планами работы, утвержденными учредителем и настоящим положением.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1.4. Центр в своей деятельности подчиняется директору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Школы.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Цели, задачи, функции 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Центра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2.1. Основными целями деятельности Центра являются:</w:t>
      </w:r>
    </w:p>
    <w:p w:rsidR="00AF2742" w:rsidRPr="00DC3604" w:rsidRDefault="00DC360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создание условий для внедрения на уровнях начального общего, основного общего и (или) среднего общего образования новых методов обучения и воспитания, образовательных технологий, обеспечивающих освоение обучающимися основных и дополнительных общеобразовательных программ естественно-научного и технологического профилей;</w:t>
      </w:r>
    </w:p>
    <w:p w:rsidR="00AF2742" w:rsidRPr="00DC3604" w:rsidRDefault="00DC3604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обновление содержания и совершенствование методов обучения по учебным предметам «Химия», «Биология» и «Физика».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 Задачами Центра являются: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2.2.1. Реализация основных общеобразовательных программ по учебным предметам «Химия», «Биология» и «Физика», в том числе обеспечение внедрения обновленного содержания и методов обучения по основным общеобразовательным программам в рамках федерального проекта «Современная школа» национального проекта «Образование».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2.2.2. Разработка и реализация </w:t>
      </w:r>
      <w:proofErr w:type="spellStart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разноуровневых</w:t>
      </w:r>
      <w:proofErr w:type="spellEnd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 дополнительных общеобразовательных программ естественно-научного и технологического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профилей, а также иных программ в рамках внеурочной деятельности обучающихся, в том числе в каникулярный период.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2.2.3. Реализация и участие в реализации образовательных программ основного общего образования в сетевой форме.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2.2.4. Создание целостной системы дополнительного образования в Центре, обеспеченной единством учебных и воспитательных требований, преемственностью содержания основного и дополнительного образования, а также единством методических подходов.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2.2.5. Вовлечение обучающихся и педагогических работников в проектную деятельность.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2.2.6. Организация внеурочной деятельности в каникулярный период, разработка и реализация соответствующих образовательных программ, в том числе для лагерей, организованных образовательными организациями в каникулярный период.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2.2.7. Реализация мероприятий по информированию и просвещению населения в области естественно-научных и технологических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новшеств.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2.2.8. Содействие развитию </w:t>
      </w:r>
      <w:proofErr w:type="spellStart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медиаграмотности</w:t>
      </w:r>
      <w:proofErr w:type="spellEnd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обучающихся, школьных цифровых </w:t>
      </w:r>
      <w:proofErr w:type="spellStart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медиаресурсов</w:t>
      </w:r>
      <w:proofErr w:type="spellEnd"/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2.2.9. Содействие созданию и развитию общественного движения школьников, направленного на личностное развитие, повышение их социальной активности и мотивации к творческой деятельности.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2.2.10. Содействие развитию шахматного образования.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2.2.11. Реализация мер по непрерывному развитию педагогических работников и управленческих кадров, включая повышение квалификации руководителей и педагогических работников Центра «Точка роста», реализующих основные и дополнительные общеобразовательные программы.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Выполняя эти задачи, Центр является структурным подразделением Школы, входит в состав федеральной сети центров образования цифрового и гуманитарного профилей «Точка роста» и функционирует как образовательный центр, который:</w:t>
      </w:r>
    </w:p>
    <w:p w:rsidR="00AF2742" w:rsidRPr="00DC3604" w:rsidRDefault="00DC3604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реализует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основные и дополнительные общеобразовательные программы естественно-научного и технологического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профилей, привлекая детей, обучающихся и их родителей (законных представителей) к соответствующей деятельности в рамках реализации этих программ;</w:t>
      </w:r>
    </w:p>
    <w:p w:rsidR="00AF2742" w:rsidRPr="00DC3604" w:rsidRDefault="00DC3604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выполняет функцию общественного пространства для развития общекультурных компетенций, цифрового и шахматного образования, проектной деятельности, творческой самореализации детей, педагогов, родительской общественности.</w:t>
      </w:r>
    </w:p>
    <w:p w:rsidR="00AF2742" w:rsidRDefault="00DC3604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2.2.12. Центр взаимодействует:</w:t>
      </w:r>
    </w:p>
    <w:p w:rsidR="00AF2742" w:rsidRPr="00DC3604" w:rsidRDefault="00DC3604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с различными образовательными организациями в форме сетевого взаимодействия;</w:t>
      </w:r>
    </w:p>
    <w:p w:rsidR="00AF2742" w:rsidRPr="00DC3604" w:rsidRDefault="00DC3604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иными образовательными организациями, входящими в состав региональной и федеральной сетей центров «Точка роста»;</w:t>
      </w:r>
    </w:p>
    <w:p w:rsidR="00AF2742" w:rsidRPr="00DC3604" w:rsidRDefault="00DC3604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обучающимися и родителями (законными представителями) обучающихся с применением дистанционных образовательных технологий.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управления Центром «Точка роста»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3.1. Образование и прекращение Центра как структурного подразделения образовательной организации относятся к компетенции учредителя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по согласованию с директором Школы.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3.2. Директор Школы назначает локальным актом руководителя Центра. Руководителем Центра может быть назначен один из заместителей директора Школы в рамках исполняемых им должностных обязанностей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либо по совместительству. Руководителем Центра также может быть назначен педагог Школы в соответствии со штатным расписанием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либо по совместительству. Размер ставки и оплаты руководителя Центра определяется директором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в соответствии и в пределах фонда оплаты труда.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3.3. Руководитель Центра обязан: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3.3.1. Осуществлять оперативное руководство Центром.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3.3.2. Согласовывать программы развития, планы работ, отчеты и сметы расходов Центра с директором Школы.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3.3.3. Представлять интересы Центра по доверенности в муниципальных, государственных органах региона, организациях для реализации целей и задач Центра.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3.3.4. Отчитываться перед директором Школы о результатах работы Центра.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3.3.5. Выполнять иные обязанности, предусмотренные законодательством, уставом Школы, должностной инструкцией и настоящим положением.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3.4. Руководитель Центра вправе: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3.4.1. Осуществлять подбор и расстановку кадров Центра, прием на работу которых осуществляется приказом директора Школы.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3.4.2. По согласованию с директором Школы организовывать учебно-воспитательный процесс в Центре в соответствии с целями и задачами Центра и осуществлять контроль за его реализацией.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3.4.3. Осуществлять подготовку обучающихся к участию в конкурсах, олимпиадах, конференциях и иных мероприятиях по профилю направлений деятельности Центра.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3.4.4. По согласованию с директором Школы осуществлять организацию и проведение мероприятий по профилю направлений деятельности Центра.</w:t>
      </w:r>
    </w:p>
    <w:p w:rsidR="00AF2742" w:rsidRPr="00DC3604" w:rsidRDefault="00DC360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C3604">
        <w:rPr>
          <w:rFonts w:hAnsi="Times New Roman" w:cs="Times New Roman"/>
          <w:color w:val="000000"/>
          <w:sz w:val="24"/>
          <w:szCs w:val="24"/>
          <w:lang w:val="ru-RU"/>
        </w:rPr>
        <w:t>3.4.5. Осуществлять иные права, относящиеся к деятельности Центра и не противоречащие целям и видам деятельности образовательной организации, а также законодательству Российской Федерации.</w:t>
      </w:r>
    </w:p>
    <w:sectPr w:rsidR="00AF2742" w:rsidRPr="00DC360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747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331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4F76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9E1530"/>
    <w:rsid w:val="00AF2742"/>
    <w:rsid w:val="00B73A5A"/>
    <w:rsid w:val="00DC3604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958C"/>
  <w15:docId w15:val="{BB0DCB5C-A8AC-4259-A7AA-94CD4C59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C360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3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Школа</cp:lastModifiedBy>
  <cp:revision>4</cp:revision>
  <cp:lastPrinted>2025-01-20T13:51:00Z</cp:lastPrinted>
  <dcterms:created xsi:type="dcterms:W3CDTF">2011-11-02T04:15:00Z</dcterms:created>
  <dcterms:modified xsi:type="dcterms:W3CDTF">2025-10-17T12:36:00Z</dcterms:modified>
</cp:coreProperties>
</file>